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580e49ff54b46b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10653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MARIA MARTINOLIĆA, MALI LOŠINJ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1.283.642,41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1.410.068,67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1.284.209,34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1.586.521,99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176.453,32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5.085,03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181.538,35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bl>
    <w:p>
      <w:pPr>
        <w:spacing w:before="0" w:after="0"/>
      </w:pPr>
    </w:p>
    <w:p>
      <w:pPr>
        <w:jc w:val="both"/>
        <w:pStyle w:val="Normal"/>
        <w:spacing w:line="240" w:lineRule="auto"/>
      </w:pPr>
      <w:r>
        <w:rPr>
          <w:sz w:val="24"/>
          <w:rFonts w:ascii="Times New Roman" w:hAnsi="Times New Roman"/>
        </w:rPr>
        <w:t>Izvještajno razdoblje 1/6-2025. osnovna škola završila je s manjkom prihoda u iznosu 181.538,35 €. Preneseni višak iz 2024. je 1.765,64 €. Ukupni manjak koji se prenosi u slijedeće razdoblje je 179.772,71 €.
Glavni razlog manjka je ukidanje konta aktivnih vremenskih razgraničenja na kojima se prethodnih godina knjižila plaća za lipanj. Navedeni manjak privremenog je karaktera jer će škola prihode za plaće lipanj 2025 ostvariti u mjesecu srpnju 2025.
Rashodi za plaće lipanj 2025. iznose 185.886,69 €.
Manjak prihoda ostvaren je u sljedećim izvorima financiranja:
Opći prihodi i primici -4.969,40 € 
Pomoći -184.137,21 €.
Višak prihoda ostvaren je po sljedećim izvorima financiranja:
Vlastiti prihodi  5.167,80 €
Prihodi za posebne namjene  3.613,22 €
Donacije 552,88 €.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1.142.698,65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1.274.532,07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pPr>
        <w:jc w:val="both"/>
        <w:pStyle w:val="Normal"/>
        <w:spacing w:line="240" w:lineRule="auto"/>
      </w:pPr>
      <w:r>
        <w:rPr>
          <w:sz w:val="24"/>
          <w:rFonts w:ascii="Times New Roman" w:hAnsi="Times New Roman"/>
        </w:rPr>
        <w:t>Povećanje prihoda proračuna vezano je prvenstveno uz povećanje plaća za djelatnike – koje financira ministarstvo.</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35.220,82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31.600,73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w:t>
            </w:r>
          </w:p>
        </w:tc>
      </w:tr>
    </w:tbl>
    <w:p>
      <w:pPr>
        <w:spacing w:before="0" w:after="0"/>
      </w:pPr>
    </w:p>
    <w:p>
      <w:pPr>
        <w:jc w:val="both"/>
        <w:pStyle w:val="Normal"/>
        <w:spacing w:line="240" w:lineRule="auto"/>
      </w:pPr>
      <w:r>
        <w:rPr>
          <w:sz w:val="24"/>
          <w:rFonts w:ascii="Times New Roman" w:hAnsi="Times New Roman"/>
        </w:rPr>
        <w:t>U odnosu na prethodnu godinu manje je učenika uključeno u cjelodnevni odgojno-obrazovni rad što je dovelo do smanjenje prihoda koje sufinanciraju roditelji.</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w:t>
            </w:r>
          </w:p>
        </w:tc>
      </w:tr>
    </w:tbl>
    <w:p>
      <w:pPr>
        <w:spacing w:before="0" w:after="0"/>
      </w:pPr>
    </w:p>
    <w:p>
      <w:pPr>
        <w:jc w:val="both"/>
        <w:pStyle w:val="Normal"/>
        <w:spacing w:line="240" w:lineRule="auto"/>
      </w:pPr>
      <w:r>
        <w:rPr>
          <w:sz w:val="24"/>
          <w:rFonts w:ascii="Times New Roman" w:hAnsi="Times New Roman"/>
        </w:rPr>
        <w:t>Škola je povećala opseg najma prostorija i cijenu što je dovelo do povećanja vlastitih prihoda.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Područnoj školi Nerezine doniran klima uređaj i printer</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846.077,40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1.063.387,85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bl>
    <w:p>
      <w:pPr>
        <w:spacing w:before="0" w:after="0"/>
      </w:pPr>
    </w:p>
    <w:p>
      <w:pPr>
        <w:jc w:val="both"/>
        <w:pStyle w:val="Normal"/>
        <w:spacing w:line="240" w:lineRule="auto"/>
      </w:pPr>
      <w:r>
        <w:rPr>
          <w:sz w:val="24"/>
          <w:rFonts w:ascii="Times New Roman" w:hAnsi="Times New Roman"/>
        </w:rPr>
        <w:t>Povećanje osnovice dovelo do povećanja rashoda za plaće</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40.246,52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79.973,44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198,7</w:t>
            </w:r>
          </w:p>
        </w:tc>
      </w:tr>
    </w:tbl>
    <w:p>
      <w:pPr>
        <w:spacing w:before="0" w:after="0"/>
      </w:pPr>
    </w:p>
    <w:p>
      <w:pPr>
        <w:jc w:val="both"/>
        <w:pStyle w:val="Normal"/>
        <w:spacing w:line="240" w:lineRule="auto"/>
      </w:pPr>
      <w:r>
        <w:rPr>
          <w:sz w:val="24"/>
          <w:rFonts w:ascii="Times New Roman" w:hAnsi="Times New Roman"/>
        </w:rPr>
        <w:t>Zbog većeg broja bolovanja učitelja isplatilo se više prekovremenih sati učiteljima koji su ih mijenjali jer se objavljenim natječajima radna mjesta nisu uspjela popuniti.</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145.749,71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189.567,38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pPr>
        <w:jc w:val="both"/>
        <w:pStyle w:val="Normal"/>
        <w:spacing w:line="240" w:lineRule="auto"/>
      </w:pPr>
      <w:r>
        <w:rPr>
          <w:sz w:val="24"/>
          <w:rFonts w:ascii="Times New Roman" w:hAnsi="Times New Roman"/>
        </w:rPr>
        <w:t>Vezano uz povećanje osnovice za plaće radnika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osiguranje u slučaju nezaposlenosti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tekućoj godini nije bilo sudskih sporova za koje su se isplaćivali doprinosi za nezaposlenost</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528,5</w:t>
            </w:r>
          </w:p>
        </w:tc>
      </w:tr>
    </w:tbl>
    <w:p>
      <w:pPr>
        <w:spacing w:before="0" w:after="0"/>
      </w:pPr>
    </w:p>
    <w:p>
      <w:pPr>
        <w:jc w:val="both"/>
        <w:pStyle w:val="Normal"/>
        <w:spacing w:line="240" w:lineRule="auto"/>
      </w:pPr>
      <w:r>
        <w:rPr>
          <w:sz w:val="24"/>
          <w:rFonts w:ascii="Times New Roman" w:hAnsi="Times New Roman"/>
        </w:rPr>
        <w:t>Povećanje rashoda za namirnice. U tekućoj godini prehrana učenika u cjelodnevnom odgojno-obrazovnom radu kuha se u školi – prethodnih godina koristio se catering.</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w:t>
            </w:r>
          </w:p>
        </w:tc>
      </w:tr>
    </w:tbl>
    <w:p>
      <w:pPr>
        <w:spacing w:before="0" w:after="0"/>
      </w:pPr>
    </w:p>
    <w:p>
      <w:pPr>
        <w:jc w:val="both"/>
        <w:pStyle w:val="Normal"/>
        <w:spacing w:line="240" w:lineRule="auto"/>
      </w:pPr>
      <w:r>
        <w:rPr>
          <w:sz w:val="24"/>
          <w:rFonts w:ascii="Times New Roman" w:hAnsi="Times New Roman"/>
        </w:rPr>
        <w:t>Poništen natječaj jednostavne nabave za liječničke preglede zaposlenika – rashod se očekuje u drugoj polovici godine, nakon ponovnog natječaja.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554,3</w:t>
            </w:r>
          </w:p>
        </w:tc>
      </w:tr>
    </w:tbl>
    <w:p>
      <w:pPr>
        <w:spacing w:before="0" w:after="0"/>
      </w:pPr>
    </w:p>
    <w:p>
      <w:pPr>
        <w:jc w:val="both"/>
        <w:pStyle w:val="Normal"/>
        <w:spacing w:line="240" w:lineRule="auto"/>
      </w:pPr>
      <w:r>
        <w:rPr>
          <w:sz w:val="24"/>
          <w:rFonts w:ascii="Times New Roman" w:hAnsi="Times New Roman"/>
        </w:rPr>
        <w:t>U školskoj godini 2024-25. za učiteljicu klavira u glazbenom odjelu javila se jedino apsolventica muzičke akademije, koja nije mogla raditi preko ugovora o radu. Škola ju je plaćala preko student servisa.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80.406,62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62.517,43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w:t>
            </w:r>
          </w:p>
        </w:tc>
      </w:tr>
    </w:tbl>
    <w:p>
      <w:pPr>
        <w:spacing w:before="0" w:after="0"/>
      </w:pPr>
    </w:p>
    <w:p>
      <w:pPr>
        <w:jc w:val="both"/>
        <w:pStyle w:val="Normal"/>
        <w:spacing w:line="240" w:lineRule="auto"/>
      </w:pPr>
      <w:r>
        <w:rPr>
          <w:sz w:val="24"/>
          <w:rFonts w:ascii="Times New Roman" w:hAnsi="Times New Roman"/>
        </w:rPr>
        <w:t>U prethodnoj godini sva prehrana učenika vršila se preko cateringa. U tekućoj godini za učenike cjelodnevnog odgojno-obrazovnog rada hrana se počela kuhati u školi, što je dovelo do smanjenja rashoda za catering.</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w:t>
            </w:r>
          </w:p>
        </w:tc>
      </w:tr>
    </w:tbl>
    <w:p>
      <w:pPr>
        <w:spacing w:before="0" w:after="0"/>
      </w:pPr>
    </w:p>
    <w:p>
      <w:pPr>
        <w:jc w:val="both"/>
        <w:pStyle w:val="Normal"/>
        <w:spacing w:line="240" w:lineRule="auto"/>
      </w:pPr>
      <w:r>
        <w:rPr>
          <w:sz w:val="24"/>
          <w:rFonts w:ascii="Times New Roman" w:hAnsi="Times New Roman"/>
        </w:rPr>
        <w:t>Povećao se iznos naknade za nezapošljavanje invalida</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prethodnoj godini isplaćena je zadnja presuda djelatnicima koji su tužili školu vezano uz
razlika plaće po povoljnijoj osnovici 01/2015 do 01/2017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w:t>
            </w:r>
          </w:p>
        </w:tc>
      </w:tr>
    </w:tbl>
    <w:p>
      <w:pPr>
        <w:spacing w:before="0" w:after="0"/>
      </w:pPr>
    </w:p>
    <w:p>
      <w:pPr>
        <w:jc w:val="both"/>
        <w:pStyle w:val="Normal"/>
        <w:spacing w:line="240" w:lineRule="auto"/>
      </w:pPr>
      <w:r>
        <w:rPr>
          <w:sz w:val="24"/>
          <w:rFonts w:ascii="Times New Roman" w:hAnsi="Times New Roman"/>
        </w:rPr>
        <w:t>u tekućoj godini nije bilo zateznih kamata vezanih uz sporove sa djelatnicima vezano uz
razlika plaće po povoljnijoj osnovici 01/2015 do 01/2017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w:t>
            </w:r>
          </w:p>
        </w:tc>
      </w:tr>
    </w:tbl>
    <w:p>
      <w:pPr>
        <w:spacing w:before="0" w:after="0"/>
      </w:pPr>
    </w:p>
    <w:p>
      <w:pPr>
        <w:jc w:val="both"/>
        <w:pStyle w:val="Normal"/>
        <w:spacing w:line="240" w:lineRule="auto"/>
      </w:pPr>
      <w:r>
        <w:rPr>
          <w:sz w:val="24"/>
          <w:rFonts w:ascii="Times New Roman" w:hAnsi="Times New Roman"/>
        </w:rPr>
        <w:t>Smanjio se broj učenika čijim roditeljima se isplaćuju rashodi za prijevoz djeteta u školu i povratak doma.</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176.453,32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Style w:val="Normal"/>
        <w:spacing w:line="240" w:lineRule="auto"/>
      </w:pPr>
      <w:r>
        <w:rPr>
          <w:sz w:val="24"/>
          <w:rFonts w:ascii="Times New Roman" w:hAnsi="Times New Roman"/>
        </w:rPr>
        <w:t>Glavni uzrok manjka - po novom pravilniku o proračunskom računvodcstvu u ovaj izvještaj unose se i  plaće radnika za lipanj - prihode za nevedene plaće škola će ostvatiti u srpnju.</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Školi doniran klima uređaj</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39.879,16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većina obveza odnosi se na bolovanja koja refundira HZZO</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cbdf9dae4a04b27" /></Relationships>
</file>